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91F" w:rsidRPr="00AC7474" w:rsidRDefault="00885D98" w:rsidP="00892A12">
      <w:pPr>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t>Case Studies</w:t>
      </w:r>
    </w:p>
    <w:p w:rsidR="00AA2AB8" w:rsidRPr="00AC7474" w:rsidRDefault="00AA2AB8" w:rsidP="00892A12">
      <w:pPr>
        <w:spacing w:line="480" w:lineRule="auto"/>
        <w:jc w:val="center"/>
        <w:rPr>
          <w:rFonts w:ascii="Times New Roman" w:hAnsi="Times New Roman" w:cs="Times New Roman"/>
          <w:sz w:val="24"/>
          <w:szCs w:val="24"/>
        </w:rPr>
      </w:pPr>
    </w:p>
    <w:p w:rsidR="00AA2AB8" w:rsidRPr="00AC7474" w:rsidRDefault="00885D98" w:rsidP="00892A12">
      <w:pPr>
        <w:tabs>
          <w:tab w:val="left" w:pos="249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A2AB8" w:rsidRPr="00AC7474" w:rsidRDefault="00AA2AB8" w:rsidP="00892A12">
      <w:pPr>
        <w:spacing w:line="480" w:lineRule="auto"/>
        <w:rPr>
          <w:rFonts w:ascii="Times New Roman" w:hAnsi="Times New Roman" w:cs="Times New Roman"/>
          <w:sz w:val="24"/>
          <w:szCs w:val="24"/>
        </w:rPr>
      </w:pPr>
    </w:p>
    <w:p w:rsidR="00AA2AB8" w:rsidRPr="00AC7474" w:rsidRDefault="00AA2AB8" w:rsidP="00892A12">
      <w:pPr>
        <w:spacing w:line="480" w:lineRule="auto"/>
        <w:jc w:val="center"/>
        <w:rPr>
          <w:rFonts w:ascii="Times New Roman" w:hAnsi="Times New Roman" w:cs="Times New Roman"/>
          <w:sz w:val="24"/>
          <w:szCs w:val="24"/>
        </w:rPr>
      </w:pPr>
    </w:p>
    <w:p w:rsidR="00AA2AB8" w:rsidRPr="00AC7474" w:rsidRDefault="00AA2AB8" w:rsidP="00892A12">
      <w:pPr>
        <w:spacing w:line="480" w:lineRule="auto"/>
        <w:jc w:val="center"/>
        <w:rPr>
          <w:rFonts w:ascii="Times New Roman" w:hAnsi="Times New Roman" w:cs="Times New Roman"/>
          <w:sz w:val="24"/>
          <w:szCs w:val="24"/>
        </w:rPr>
      </w:pPr>
    </w:p>
    <w:p w:rsidR="00AA2AB8" w:rsidRPr="00AC7474" w:rsidRDefault="00885D98" w:rsidP="00892A12">
      <w:pPr>
        <w:tabs>
          <w:tab w:val="left" w:pos="3495"/>
          <w:tab w:val="center" w:pos="4513"/>
        </w:tabs>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t>Student’s Name</w:t>
      </w:r>
    </w:p>
    <w:p w:rsidR="00AA2AB8" w:rsidRPr="00AC7474" w:rsidRDefault="00885D98" w:rsidP="00892A12">
      <w:pPr>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t>Department, University</w:t>
      </w:r>
    </w:p>
    <w:p w:rsidR="00AA2AB8" w:rsidRPr="00AC7474" w:rsidRDefault="00885D98" w:rsidP="00892A12">
      <w:pPr>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t>Course Number and Name</w:t>
      </w:r>
    </w:p>
    <w:p w:rsidR="00AA2AB8" w:rsidRPr="00AC7474" w:rsidRDefault="00885D98" w:rsidP="00892A12">
      <w:pPr>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t>Instructor’s Name</w:t>
      </w:r>
    </w:p>
    <w:p w:rsidR="00AA2AB8" w:rsidRPr="00AC7474" w:rsidRDefault="00885D98" w:rsidP="00892A12">
      <w:pPr>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t>Date</w:t>
      </w:r>
    </w:p>
    <w:p w:rsidR="00AA2AB8" w:rsidRPr="00AC7474" w:rsidRDefault="00AA2AB8" w:rsidP="00892A12">
      <w:pPr>
        <w:spacing w:line="480" w:lineRule="auto"/>
        <w:rPr>
          <w:rFonts w:ascii="Times New Roman" w:hAnsi="Times New Roman" w:cs="Times New Roman"/>
          <w:sz w:val="24"/>
          <w:szCs w:val="24"/>
        </w:rPr>
      </w:pPr>
    </w:p>
    <w:p w:rsidR="003F3C79" w:rsidRPr="00AC7474" w:rsidRDefault="003F3C79" w:rsidP="00892A12">
      <w:pPr>
        <w:spacing w:line="480" w:lineRule="auto"/>
        <w:rPr>
          <w:rFonts w:ascii="Times New Roman" w:hAnsi="Times New Roman" w:cs="Times New Roman"/>
          <w:sz w:val="24"/>
          <w:szCs w:val="24"/>
        </w:rPr>
      </w:pPr>
    </w:p>
    <w:p w:rsidR="003F3C79" w:rsidRPr="00AC7474" w:rsidRDefault="003F3C79" w:rsidP="00892A12">
      <w:pPr>
        <w:spacing w:line="480" w:lineRule="auto"/>
        <w:rPr>
          <w:rFonts w:ascii="Times New Roman" w:hAnsi="Times New Roman" w:cs="Times New Roman"/>
          <w:sz w:val="24"/>
          <w:szCs w:val="24"/>
        </w:rPr>
      </w:pPr>
    </w:p>
    <w:p w:rsidR="003F3C79"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br w:type="page"/>
      </w:r>
    </w:p>
    <w:p w:rsidR="003F3C79" w:rsidRPr="00AC7474" w:rsidRDefault="00885D98" w:rsidP="00892A12">
      <w:pPr>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lastRenderedPageBreak/>
        <w:t>Case Study I</w:t>
      </w:r>
    </w:p>
    <w:p w:rsidR="003F3C79"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1. </w:t>
      </w:r>
      <w:r>
        <w:rPr>
          <w:rFonts w:ascii="Times New Roman" w:hAnsi="Times New Roman" w:cs="Times New Roman"/>
          <w:sz w:val="24"/>
          <w:szCs w:val="24"/>
        </w:rPr>
        <w:tab/>
      </w:r>
      <w:r w:rsidRPr="00AC7474">
        <w:rPr>
          <w:rFonts w:ascii="Times New Roman" w:hAnsi="Times New Roman" w:cs="Times New Roman"/>
          <w:sz w:val="24"/>
          <w:szCs w:val="24"/>
        </w:rPr>
        <w:t>The</w:t>
      </w:r>
      <w:r w:rsidR="00B33D24" w:rsidRPr="00AC7474">
        <w:rPr>
          <w:rFonts w:ascii="Times New Roman" w:hAnsi="Times New Roman" w:cs="Times New Roman"/>
          <w:sz w:val="24"/>
          <w:szCs w:val="24"/>
        </w:rPr>
        <w:t xml:space="preserve"> purchasing power parity (PPP</w:t>
      </w:r>
      <w:r w:rsidRPr="00AC7474">
        <w:rPr>
          <w:rFonts w:ascii="Times New Roman" w:hAnsi="Times New Roman" w:cs="Times New Roman"/>
          <w:sz w:val="24"/>
          <w:szCs w:val="24"/>
        </w:rPr>
        <w:t xml:space="preserve">) establishes the relationship between a nation's exchange rate </w:t>
      </w:r>
      <w:r w:rsidRPr="00AC7474">
        <w:rPr>
          <w:rFonts w:ascii="Times New Roman" w:hAnsi="Times New Roman" w:cs="Times New Roman"/>
          <w:sz w:val="24"/>
          <w:szCs w:val="24"/>
        </w:rPr>
        <w:t xml:space="preserve">and its national price level. The theory states that a basket of goods in one country should equal that of the other when measured with a similar currency. </w:t>
      </w:r>
      <w:r w:rsidR="00B33D24" w:rsidRPr="00AC7474">
        <w:rPr>
          <w:rFonts w:ascii="Times New Roman" w:hAnsi="Times New Roman" w:cs="Times New Roman"/>
          <w:sz w:val="24"/>
          <w:szCs w:val="24"/>
        </w:rPr>
        <w:t xml:space="preserve">More extensively, the phenomenon indicates </w:t>
      </w:r>
      <w:r w:rsidRPr="00AC7474">
        <w:rPr>
          <w:rFonts w:ascii="Times New Roman" w:hAnsi="Times New Roman" w:cs="Times New Roman"/>
          <w:sz w:val="24"/>
          <w:szCs w:val="24"/>
        </w:rPr>
        <w:t>that the</w:t>
      </w:r>
      <w:r w:rsidR="00B33D24" w:rsidRPr="00AC7474">
        <w:rPr>
          <w:rFonts w:ascii="Times New Roman" w:hAnsi="Times New Roman" w:cs="Times New Roman"/>
          <w:sz w:val="24"/>
          <w:szCs w:val="24"/>
        </w:rPr>
        <w:t xml:space="preserve"> nominal exchange rate between two countries is similar to the proportion of the corresponding nation's national price level. For instance, when inflation occurs between the two countries of consideration (relative PPP), it means that an exchange rate depreciation within the same period of the two nations can be used to offset the inflation</w:t>
      </w:r>
      <w:r w:rsidR="00E34FDE">
        <w:rPr>
          <w:rFonts w:ascii="Times New Roman" w:hAnsi="Times New Roman" w:cs="Times New Roman"/>
          <w:sz w:val="24"/>
          <w:szCs w:val="24"/>
        </w:rPr>
        <w:t xml:space="preserve"> (Huang, 2015)</w:t>
      </w:r>
      <w:r w:rsidR="00B33D24" w:rsidRPr="00AC7474">
        <w:rPr>
          <w:rFonts w:ascii="Times New Roman" w:hAnsi="Times New Roman" w:cs="Times New Roman"/>
          <w:sz w:val="24"/>
          <w:szCs w:val="24"/>
        </w:rPr>
        <w:t>.</w:t>
      </w:r>
    </w:p>
    <w:p w:rsidR="00B33D24"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2.</w:t>
      </w:r>
      <w:r w:rsidR="000B2855" w:rsidRPr="00AC7474">
        <w:rPr>
          <w:rFonts w:ascii="Times New Roman" w:hAnsi="Times New Roman" w:cs="Times New Roman"/>
          <w:sz w:val="24"/>
          <w:szCs w:val="24"/>
        </w:rPr>
        <w:t xml:space="preserve"> </w:t>
      </w:r>
      <w:r>
        <w:rPr>
          <w:rFonts w:ascii="Times New Roman" w:hAnsi="Times New Roman" w:cs="Times New Roman"/>
          <w:sz w:val="24"/>
          <w:szCs w:val="24"/>
        </w:rPr>
        <w:tab/>
        <w:t>T</w:t>
      </w:r>
      <w:r w:rsidR="000B2855" w:rsidRPr="00AC7474">
        <w:rPr>
          <w:rFonts w:ascii="Times New Roman" w:hAnsi="Times New Roman" w:cs="Times New Roman"/>
          <w:sz w:val="24"/>
          <w:szCs w:val="24"/>
        </w:rPr>
        <w:t xml:space="preserve">he First method of testing PPP is testing the unit root in </w:t>
      </w:r>
      <w:r w:rsidR="009D32CA" w:rsidRPr="00AC7474">
        <w:rPr>
          <w:rFonts w:ascii="Times New Roman" w:hAnsi="Times New Roman" w:cs="Times New Roman"/>
          <w:sz w:val="24"/>
          <w:szCs w:val="24"/>
        </w:rPr>
        <w:t>the real exchange</w:t>
      </w:r>
      <w:r w:rsidR="000B2855" w:rsidRPr="00AC7474">
        <w:rPr>
          <w:rFonts w:ascii="Times New Roman" w:hAnsi="Times New Roman" w:cs="Times New Roman"/>
          <w:sz w:val="24"/>
          <w:szCs w:val="24"/>
        </w:rPr>
        <w:t xml:space="preserve"> rate. The evidence in favour of PPP is recognized when there is a rejection of the unit root </w:t>
      </w:r>
      <w:r w:rsidR="009D32CA" w:rsidRPr="00AC7474">
        <w:rPr>
          <w:rFonts w:ascii="Times New Roman" w:hAnsi="Times New Roman" w:cs="Times New Roman"/>
          <w:sz w:val="24"/>
          <w:szCs w:val="24"/>
        </w:rPr>
        <w:t xml:space="preserve">hypothesis. </w:t>
      </w:r>
    </w:p>
    <w:p w:rsidR="000B2855"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The second meth</w:t>
      </w:r>
      <w:r w:rsidRPr="00AC7474">
        <w:rPr>
          <w:rFonts w:ascii="Times New Roman" w:hAnsi="Times New Roman" w:cs="Times New Roman"/>
          <w:sz w:val="24"/>
          <w:szCs w:val="24"/>
        </w:rPr>
        <w:t xml:space="preserve">od is testing for </w:t>
      </w:r>
      <w:r w:rsidR="009D32CA" w:rsidRPr="00AC7474">
        <w:rPr>
          <w:rFonts w:ascii="Times New Roman" w:hAnsi="Times New Roman" w:cs="Times New Roman"/>
          <w:sz w:val="24"/>
          <w:szCs w:val="24"/>
        </w:rPr>
        <w:t>an</w:t>
      </w:r>
      <w:r w:rsidRPr="00AC7474">
        <w:rPr>
          <w:rFonts w:ascii="Times New Roman" w:hAnsi="Times New Roman" w:cs="Times New Roman"/>
          <w:sz w:val="24"/>
          <w:szCs w:val="24"/>
        </w:rPr>
        <w:t xml:space="preserve"> </w:t>
      </w:r>
      <w:r w:rsidR="009D32CA" w:rsidRPr="00AC7474">
        <w:rPr>
          <w:rFonts w:ascii="Times New Roman" w:hAnsi="Times New Roman" w:cs="Times New Roman"/>
          <w:sz w:val="24"/>
          <w:szCs w:val="24"/>
        </w:rPr>
        <w:t>integrating</w:t>
      </w:r>
      <w:r w:rsidRPr="00AC7474">
        <w:rPr>
          <w:rFonts w:ascii="Times New Roman" w:hAnsi="Times New Roman" w:cs="Times New Roman"/>
          <w:sz w:val="24"/>
          <w:szCs w:val="24"/>
        </w:rPr>
        <w:t xml:space="preserve"> relationship that exists between the nominal exchange rate and relative price ratios. </w:t>
      </w:r>
    </w:p>
    <w:p w:rsidR="000B2855"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The former panel of cointegration procedures indicated mixed revelation on the empirical </w:t>
      </w:r>
      <w:r w:rsidR="009D32CA" w:rsidRPr="00AC7474">
        <w:rPr>
          <w:rFonts w:ascii="Times New Roman" w:hAnsi="Times New Roman" w:cs="Times New Roman"/>
          <w:sz w:val="24"/>
          <w:szCs w:val="24"/>
        </w:rPr>
        <w:t>validity</w:t>
      </w:r>
      <w:r w:rsidRPr="00AC7474">
        <w:rPr>
          <w:rFonts w:ascii="Times New Roman" w:hAnsi="Times New Roman" w:cs="Times New Roman"/>
          <w:sz w:val="24"/>
          <w:szCs w:val="24"/>
        </w:rPr>
        <w:t xml:space="preserve"> of the long-run PPP. The thesis aims to contribute to the extant literature by assessing available evidence on PPP by using novel cointegration tests</w:t>
      </w:r>
      <w:r w:rsidR="00E34FDE">
        <w:rPr>
          <w:rFonts w:ascii="Times New Roman" w:hAnsi="Times New Roman" w:cs="Times New Roman"/>
          <w:sz w:val="24"/>
          <w:szCs w:val="24"/>
        </w:rPr>
        <w:t xml:space="preserve"> (Huang, 2015)</w:t>
      </w:r>
      <w:r w:rsidRPr="00AC7474">
        <w:rPr>
          <w:rFonts w:ascii="Times New Roman" w:hAnsi="Times New Roman" w:cs="Times New Roman"/>
          <w:sz w:val="24"/>
          <w:szCs w:val="24"/>
        </w:rPr>
        <w:t>.</w:t>
      </w:r>
    </w:p>
    <w:p w:rsidR="00B33D24"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3. </w:t>
      </w:r>
      <w:r>
        <w:rPr>
          <w:rFonts w:ascii="Times New Roman" w:hAnsi="Times New Roman" w:cs="Times New Roman"/>
          <w:sz w:val="24"/>
          <w:szCs w:val="24"/>
        </w:rPr>
        <w:tab/>
      </w:r>
      <w:r w:rsidRPr="00AC7474">
        <w:rPr>
          <w:rFonts w:ascii="Times New Roman" w:hAnsi="Times New Roman" w:cs="Times New Roman"/>
          <w:sz w:val="24"/>
          <w:szCs w:val="24"/>
        </w:rPr>
        <w:t>The</w:t>
      </w:r>
      <w:r w:rsidR="001629B5" w:rsidRPr="00AC7474">
        <w:rPr>
          <w:rFonts w:ascii="Times New Roman" w:hAnsi="Times New Roman" w:cs="Times New Roman"/>
          <w:sz w:val="24"/>
          <w:szCs w:val="24"/>
        </w:rPr>
        <w:t xml:space="preserve"> former cointegration tests, which had their roots from the augmented Dickey-Fuller (ADF) regression and Johansen maximum likelihood procedure, seemed to reveal evidence against the long-term PPP. However, these tests could have a drawback of suffering from a probable low power against stationary alternatives. This is because of the small sample sizes of</w:t>
      </w:r>
      <w:r w:rsidR="00E34FDE">
        <w:rPr>
          <w:rFonts w:ascii="Times New Roman" w:hAnsi="Times New Roman" w:cs="Times New Roman"/>
          <w:sz w:val="24"/>
          <w:szCs w:val="24"/>
        </w:rPr>
        <w:t xml:space="preserve"> the data under consideration. </w:t>
      </w:r>
      <w:r w:rsidR="001629B5" w:rsidRPr="00AC7474">
        <w:rPr>
          <w:rFonts w:ascii="Times New Roman" w:hAnsi="Times New Roman" w:cs="Times New Roman"/>
          <w:sz w:val="24"/>
          <w:szCs w:val="24"/>
        </w:rPr>
        <w:t>In a bid to solve this, researchers have tried to regain statis</w:t>
      </w:r>
      <w:r w:rsidR="00B267D6" w:rsidRPr="00AC7474">
        <w:rPr>
          <w:rFonts w:ascii="Times New Roman" w:hAnsi="Times New Roman" w:cs="Times New Roman"/>
          <w:sz w:val="24"/>
          <w:szCs w:val="24"/>
        </w:rPr>
        <w:t xml:space="preserve">tical power by pooling unlimited data across units, thereby improving the poor performance of the univariate cointegration techniques. The recent tests have been </w:t>
      </w:r>
      <w:r w:rsidR="00B267D6" w:rsidRPr="00AC7474">
        <w:rPr>
          <w:rFonts w:ascii="Times New Roman" w:hAnsi="Times New Roman" w:cs="Times New Roman"/>
          <w:sz w:val="24"/>
          <w:szCs w:val="24"/>
        </w:rPr>
        <w:lastRenderedPageBreak/>
        <w:t>extensively used for testing the weak versions of the long-run PPP in the panels</w:t>
      </w:r>
      <w:r w:rsidR="00E34FDE">
        <w:rPr>
          <w:rFonts w:ascii="Times New Roman" w:hAnsi="Times New Roman" w:cs="Times New Roman"/>
          <w:sz w:val="24"/>
          <w:szCs w:val="24"/>
        </w:rPr>
        <w:t xml:space="preserve"> (Huang, 2015)</w:t>
      </w:r>
      <w:r w:rsidR="00B267D6" w:rsidRPr="00AC7474">
        <w:rPr>
          <w:rFonts w:ascii="Times New Roman" w:hAnsi="Times New Roman" w:cs="Times New Roman"/>
          <w:sz w:val="24"/>
          <w:szCs w:val="24"/>
        </w:rPr>
        <w:t>.</w:t>
      </w:r>
    </w:p>
    <w:p w:rsidR="00B267D6" w:rsidRPr="00AC7474" w:rsidRDefault="00885D98" w:rsidP="00892A12">
      <w:pPr>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t>Case Study 2</w:t>
      </w:r>
    </w:p>
    <w:p w:rsidR="00B267D6"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1.</w:t>
      </w:r>
      <w:r>
        <w:rPr>
          <w:rFonts w:ascii="Times New Roman" w:hAnsi="Times New Roman" w:cs="Times New Roman"/>
          <w:sz w:val="24"/>
          <w:szCs w:val="24"/>
        </w:rPr>
        <w:tab/>
      </w:r>
      <w:r w:rsidRPr="00AC7474">
        <w:rPr>
          <w:rFonts w:ascii="Times New Roman" w:hAnsi="Times New Roman" w:cs="Times New Roman"/>
          <w:sz w:val="24"/>
          <w:szCs w:val="24"/>
        </w:rPr>
        <w:t xml:space="preserve"> Due</w:t>
      </w:r>
      <w:r w:rsidR="001538C9" w:rsidRPr="00AC7474">
        <w:rPr>
          <w:rFonts w:ascii="Times New Roman" w:hAnsi="Times New Roman" w:cs="Times New Roman"/>
          <w:sz w:val="24"/>
          <w:szCs w:val="24"/>
        </w:rPr>
        <w:t xml:space="preserve"> to the increased significance of the exchange market in the global markets, it has become complex to using models in forecasting the floating exchange rates. However, there has been recent development of models using the factor approach. The initial models were based on fundamentals and have continually failed to produce desirable results</w:t>
      </w:r>
      <w:r w:rsidR="00E34FDE">
        <w:rPr>
          <w:rFonts w:ascii="Times New Roman" w:hAnsi="Times New Roman" w:cs="Times New Roman"/>
          <w:sz w:val="24"/>
          <w:szCs w:val="24"/>
        </w:rPr>
        <w:t xml:space="preserve"> (Huang, 2015)</w:t>
      </w:r>
      <w:r w:rsidR="001538C9" w:rsidRPr="00AC7474">
        <w:rPr>
          <w:rFonts w:ascii="Times New Roman" w:hAnsi="Times New Roman" w:cs="Times New Roman"/>
          <w:sz w:val="24"/>
          <w:szCs w:val="24"/>
        </w:rPr>
        <w:t xml:space="preserve">. </w:t>
      </w:r>
    </w:p>
    <w:p w:rsidR="001538C9" w:rsidRPr="00AC7474" w:rsidRDefault="00885D98" w:rsidP="00892A12">
      <w:pPr>
        <w:spacing w:line="480" w:lineRule="auto"/>
        <w:ind w:firstLine="720"/>
        <w:rPr>
          <w:rFonts w:ascii="Times New Roman" w:hAnsi="Times New Roman" w:cs="Times New Roman"/>
          <w:sz w:val="24"/>
          <w:szCs w:val="24"/>
        </w:rPr>
      </w:pPr>
      <w:r w:rsidRPr="00AC7474">
        <w:rPr>
          <w:rFonts w:ascii="Times New Roman" w:hAnsi="Times New Roman" w:cs="Times New Roman"/>
          <w:sz w:val="24"/>
          <w:szCs w:val="24"/>
        </w:rPr>
        <w:t>In the recent models, the factors considered are drawn from the exchange rate panel only. This is because the exchange rate series tend to commove over time and thus to contain information that is hardly notable from the observable fundamentals.</w:t>
      </w:r>
    </w:p>
    <w:p w:rsidR="001538C9"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2.</w:t>
      </w:r>
      <w:r>
        <w:rPr>
          <w:rFonts w:ascii="Times New Roman" w:hAnsi="Times New Roman" w:cs="Times New Roman"/>
          <w:sz w:val="24"/>
          <w:szCs w:val="24"/>
        </w:rPr>
        <w:tab/>
      </w:r>
      <w:r w:rsidRPr="00AC7474">
        <w:rPr>
          <w:rFonts w:ascii="Times New Roman" w:hAnsi="Times New Roman" w:cs="Times New Roman"/>
          <w:sz w:val="24"/>
          <w:szCs w:val="24"/>
        </w:rPr>
        <w:t xml:space="preserve"> After </w:t>
      </w:r>
      <w:r w:rsidRPr="00AC7474">
        <w:rPr>
          <w:rFonts w:ascii="Times New Roman" w:hAnsi="Times New Roman" w:cs="Times New Roman"/>
          <w:sz w:val="24"/>
          <w:szCs w:val="24"/>
        </w:rPr>
        <w:t xml:space="preserve">the collapse of Bretton Woods systems of fixed exchange rates in the early days, </w:t>
      </w:r>
      <w:r w:rsidR="00AC57AA" w:rsidRPr="00AC7474">
        <w:rPr>
          <w:rFonts w:ascii="Times New Roman" w:hAnsi="Times New Roman" w:cs="Times New Roman"/>
          <w:sz w:val="24"/>
          <w:szCs w:val="24"/>
        </w:rPr>
        <w:t xml:space="preserve">an unlimited number of studies have been carried out to explore the various ideas and methods used for modelling the exchange rate trend. The models used at this time, which were based on macro </w:t>
      </w:r>
      <w:r w:rsidR="009D32CA" w:rsidRPr="00AC7474">
        <w:rPr>
          <w:rFonts w:ascii="Times New Roman" w:hAnsi="Times New Roman" w:cs="Times New Roman"/>
          <w:sz w:val="24"/>
          <w:szCs w:val="24"/>
        </w:rPr>
        <w:t>fundamentals,</w:t>
      </w:r>
      <w:r w:rsidR="00AC57AA" w:rsidRPr="00AC7474">
        <w:rPr>
          <w:rFonts w:ascii="Times New Roman" w:hAnsi="Times New Roman" w:cs="Times New Roman"/>
          <w:sz w:val="24"/>
          <w:szCs w:val="24"/>
        </w:rPr>
        <w:t xml:space="preserve"> were not able to overcome the random walk model at short or medium horizons. They provided unreliable forecasts.  Newer studies have been able to come up with models that can measure long-term horizons forecasts, hence becoming more reliable in their prediction. Such recent and successful models include the monetary-based exchange rate models. </w:t>
      </w:r>
      <w:r w:rsidR="009D32CA" w:rsidRPr="00AC7474">
        <w:rPr>
          <w:rFonts w:ascii="Times New Roman" w:hAnsi="Times New Roman" w:cs="Times New Roman"/>
          <w:sz w:val="24"/>
          <w:szCs w:val="24"/>
        </w:rPr>
        <w:t>Finally</w:t>
      </w:r>
      <w:r w:rsidR="00AC57AA" w:rsidRPr="00AC7474">
        <w:rPr>
          <w:rFonts w:ascii="Times New Roman" w:hAnsi="Times New Roman" w:cs="Times New Roman"/>
          <w:sz w:val="24"/>
          <w:szCs w:val="24"/>
        </w:rPr>
        <w:t>, the use of the Taylor rule of fundamentals in modelling has been embraced</w:t>
      </w:r>
      <w:r w:rsidR="00E34FDE">
        <w:rPr>
          <w:rFonts w:ascii="Times New Roman" w:hAnsi="Times New Roman" w:cs="Times New Roman"/>
          <w:sz w:val="24"/>
          <w:szCs w:val="24"/>
        </w:rPr>
        <w:t xml:space="preserve"> (Huang, 2015)</w:t>
      </w:r>
      <w:r w:rsidR="00AC57AA" w:rsidRPr="00AC7474">
        <w:rPr>
          <w:rFonts w:ascii="Times New Roman" w:hAnsi="Times New Roman" w:cs="Times New Roman"/>
          <w:sz w:val="24"/>
          <w:szCs w:val="24"/>
        </w:rPr>
        <w:t>.</w:t>
      </w:r>
    </w:p>
    <w:p w:rsidR="00AC57AA"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3. </w:t>
      </w:r>
      <w:r>
        <w:rPr>
          <w:rFonts w:ascii="Times New Roman" w:hAnsi="Times New Roman" w:cs="Times New Roman"/>
          <w:sz w:val="24"/>
          <w:szCs w:val="24"/>
        </w:rPr>
        <w:tab/>
      </w:r>
      <w:r w:rsidR="0062176F" w:rsidRPr="00AC7474">
        <w:rPr>
          <w:rFonts w:ascii="Times New Roman" w:hAnsi="Times New Roman" w:cs="Times New Roman"/>
          <w:sz w:val="24"/>
          <w:szCs w:val="24"/>
        </w:rPr>
        <w:t xml:space="preserve">In recent years, there have been increased activities in the exchange rate market hence an increased need for modelling and searching evidence for PPP. However, many conventional models have failed the attempt of predicting with accuracy in comparison to the random walk model. Likewise, the former tests on proving the </w:t>
      </w:r>
      <w:r w:rsidR="009D32CA" w:rsidRPr="00AC7474">
        <w:rPr>
          <w:rFonts w:ascii="Times New Roman" w:hAnsi="Times New Roman" w:cs="Times New Roman"/>
          <w:sz w:val="24"/>
          <w:szCs w:val="24"/>
        </w:rPr>
        <w:t>PPP</w:t>
      </w:r>
      <w:r w:rsidR="0062176F" w:rsidRPr="00AC7474">
        <w:rPr>
          <w:rFonts w:ascii="Times New Roman" w:hAnsi="Times New Roman" w:cs="Times New Roman"/>
          <w:sz w:val="24"/>
          <w:szCs w:val="24"/>
        </w:rPr>
        <w:t xml:space="preserve"> have led to invalid </w:t>
      </w:r>
      <w:r w:rsidR="0062176F" w:rsidRPr="00AC7474">
        <w:rPr>
          <w:rFonts w:ascii="Times New Roman" w:hAnsi="Times New Roman" w:cs="Times New Roman"/>
          <w:sz w:val="24"/>
          <w:szCs w:val="24"/>
        </w:rPr>
        <w:lastRenderedPageBreak/>
        <w:t>conclusions. The author's thesis tries to address these issues by presenting more effective tests. The use of cross-sectional dependence robust panel root tests, novel panel cointegration tests, and the use of factor-based models</w:t>
      </w:r>
      <w:r w:rsidR="00447EC4">
        <w:rPr>
          <w:rFonts w:ascii="Times New Roman" w:hAnsi="Times New Roman" w:cs="Times New Roman"/>
          <w:sz w:val="24"/>
          <w:szCs w:val="24"/>
        </w:rPr>
        <w:t xml:space="preserve"> (Huang, 2015)</w:t>
      </w:r>
      <w:r w:rsidR="0062176F" w:rsidRPr="00AC7474">
        <w:rPr>
          <w:rFonts w:ascii="Times New Roman" w:hAnsi="Times New Roman" w:cs="Times New Roman"/>
          <w:sz w:val="24"/>
          <w:szCs w:val="24"/>
        </w:rPr>
        <w:t>.</w:t>
      </w:r>
    </w:p>
    <w:p w:rsidR="0062176F" w:rsidRPr="00AC7474" w:rsidRDefault="00885D98" w:rsidP="00892A12">
      <w:pPr>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t>Case study 3</w:t>
      </w:r>
    </w:p>
    <w:p w:rsidR="00E303A4" w:rsidRPr="00AC7474" w:rsidRDefault="00885D98" w:rsidP="00892A12">
      <w:pPr>
        <w:tabs>
          <w:tab w:val="left" w:pos="1376"/>
        </w:tabs>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1. </w:t>
      </w:r>
      <w:r>
        <w:rPr>
          <w:rFonts w:ascii="Times New Roman" w:hAnsi="Times New Roman" w:cs="Times New Roman"/>
          <w:sz w:val="24"/>
          <w:szCs w:val="24"/>
        </w:rPr>
        <w:tab/>
      </w:r>
      <w:r w:rsidRPr="00AC7474">
        <w:rPr>
          <w:rFonts w:ascii="Times New Roman" w:hAnsi="Times New Roman" w:cs="Times New Roman"/>
          <w:sz w:val="24"/>
          <w:szCs w:val="24"/>
        </w:rPr>
        <w:t>There</w:t>
      </w:r>
      <w:r w:rsidR="001D4043" w:rsidRPr="00AC7474">
        <w:rPr>
          <w:rFonts w:ascii="Times New Roman" w:hAnsi="Times New Roman" w:cs="Times New Roman"/>
          <w:sz w:val="24"/>
          <w:szCs w:val="24"/>
        </w:rPr>
        <w:t xml:space="preserve"> exists a wide gap in models applied by academics and those used by market practitioners. The academic one uses </w:t>
      </w:r>
      <w:r w:rsidRPr="00AC7474">
        <w:rPr>
          <w:rFonts w:ascii="Times New Roman" w:hAnsi="Times New Roman" w:cs="Times New Roman"/>
          <w:sz w:val="24"/>
          <w:szCs w:val="24"/>
        </w:rPr>
        <w:t>long-run</w:t>
      </w:r>
      <w:r w:rsidR="001D4043" w:rsidRPr="00AC7474">
        <w:rPr>
          <w:rFonts w:ascii="Times New Roman" w:hAnsi="Times New Roman" w:cs="Times New Roman"/>
          <w:sz w:val="24"/>
          <w:szCs w:val="24"/>
        </w:rPr>
        <w:t xml:space="preserve"> </w:t>
      </w:r>
      <w:r w:rsidRPr="00AC7474">
        <w:rPr>
          <w:rFonts w:ascii="Times New Roman" w:hAnsi="Times New Roman" w:cs="Times New Roman"/>
          <w:sz w:val="24"/>
          <w:szCs w:val="24"/>
        </w:rPr>
        <w:t>equilibrium</w:t>
      </w:r>
      <w:r w:rsidR="001D4043" w:rsidRPr="00AC7474">
        <w:rPr>
          <w:rFonts w:ascii="Times New Roman" w:hAnsi="Times New Roman" w:cs="Times New Roman"/>
          <w:sz w:val="24"/>
          <w:szCs w:val="24"/>
        </w:rPr>
        <w:t xml:space="preserve"> </w:t>
      </w:r>
      <w:r w:rsidRPr="00AC7474">
        <w:rPr>
          <w:rFonts w:ascii="Times New Roman" w:hAnsi="Times New Roman" w:cs="Times New Roman"/>
          <w:sz w:val="24"/>
          <w:szCs w:val="24"/>
        </w:rPr>
        <w:t>equations</w:t>
      </w:r>
      <w:r w:rsidR="001D4043" w:rsidRPr="00AC7474">
        <w:rPr>
          <w:rFonts w:ascii="Times New Roman" w:hAnsi="Times New Roman" w:cs="Times New Roman"/>
          <w:sz w:val="24"/>
          <w:szCs w:val="24"/>
        </w:rPr>
        <w:t xml:space="preserve"> rooted in fundamental variables, and they tend to use standard distribution theory in their modelling activity. In order to seal this gap, the provision of statistical </w:t>
      </w:r>
      <w:r w:rsidR="00862D4C" w:rsidRPr="00AC7474">
        <w:rPr>
          <w:rFonts w:ascii="Times New Roman" w:hAnsi="Times New Roman" w:cs="Times New Roman"/>
          <w:sz w:val="24"/>
          <w:szCs w:val="24"/>
        </w:rPr>
        <w:t xml:space="preserve">and economic investigation </w:t>
      </w:r>
      <w:r w:rsidRPr="00AC7474">
        <w:rPr>
          <w:rFonts w:ascii="Times New Roman" w:hAnsi="Times New Roman" w:cs="Times New Roman"/>
          <w:sz w:val="24"/>
          <w:szCs w:val="24"/>
        </w:rPr>
        <w:t>on fundamental</w:t>
      </w:r>
      <w:r w:rsidR="00862D4C" w:rsidRPr="00AC7474">
        <w:rPr>
          <w:rFonts w:ascii="Times New Roman" w:hAnsi="Times New Roman" w:cs="Times New Roman"/>
          <w:sz w:val="24"/>
          <w:szCs w:val="24"/>
        </w:rPr>
        <w:t xml:space="preserve"> models and the characteristic rule should be carried across differing horizons. </w:t>
      </w:r>
      <w:r w:rsidRPr="00AC7474">
        <w:rPr>
          <w:rFonts w:ascii="Times New Roman" w:hAnsi="Times New Roman" w:cs="Times New Roman"/>
          <w:sz w:val="24"/>
          <w:szCs w:val="24"/>
        </w:rPr>
        <w:t>Therefore,</w:t>
      </w:r>
      <w:r w:rsidR="00862D4C" w:rsidRPr="00AC7474">
        <w:rPr>
          <w:rFonts w:ascii="Times New Roman" w:hAnsi="Times New Roman" w:cs="Times New Roman"/>
          <w:sz w:val="24"/>
          <w:szCs w:val="24"/>
        </w:rPr>
        <w:t xml:space="preserve"> the author's best definition of a robust model is finding and applying the best technique that reveals the least errors in the forecast</w:t>
      </w:r>
      <w:r w:rsidR="001417C3" w:rsidRPr="00AC7474">
        <w:rPr>
          <w:rFonts w:ascii="Times New Roman" w:hAnsi="Times New Roman" w:cs="Times New Roman"/>
          <w:sz w:val="24"/>
          <w:szCs w:val="24"/>
        </w:rPr>
        <w:t xml:space="preserve"> while carrying out the exchange rates</w:t>
      </w:r>
      <w:r w:rsidR="00E34FDE">
        <w:rPr>
          <w:rFonts w:ascii="Times New Roman" w:hAnsi="Times New Roman" w:cs="Times New Roman"/>
          <w:sz w:val="24"/>
          <w:szCs w:val="24"/>
        </w:rPr>
        <w:t xml:space="preserve"> (Ulloa, 2013)</w:t>
      </w:r>
      <w:r w:rsidR="00862D4C" w:rsidRPr="00AC7474">
        <w:rPr>
          <w:rFonts w:ascii="Times New Roman" w:hAnsi="Times New Roman" w:cs="Times New Roman"/>
          <w:sz w:val="24"/>
          <w:szCs w:val="24"/>
        </w:rPr>
        <w:t>.</w:t>
      </w:r>
    </w:p>
    <w:p w:rsidR="00862D4C" w:rsidRPr="00AC7474" w:rsidRDefault="00885D98" w:rsidP="00892A12">
      <w:pPr>
        <w:tabs>
          <w:tab w:val="left" w:pos="1376"/>
        </w:tabs>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2. </w:t>
      </w:r>
      <w:r>
        <w:rPr>
          <w:rFonts w:ascii="Times New Roman" w:hAnsi="Times New Roman" w:cs="Times New Roman"/>
          <w:sz w:val="24"/>
          <w:szCs w:val="24"/>
        </w:rPr>
        <w:tab/>
      </w:r>
      <w:r w:rsidR="001417C3" w:rsidRPr="00AC7474">
        <w:rPr>
          <w:rFonts w:ascii="Times New Roman" w:hAnsi="Times New Roman" w:cs="Times New Roman"/>
          <w:sz w:val="24"/>
          <w:szCs w:val="24"/>
        </w:rPr>
        <w:t xml:space="preserve">The failure of early exchange rate models has acted as a partial motivator in incorporating studies that assumed chartist techniques together with the fundamental analysis. For instance, Frankel and Foot (1986) developed a forecasting model in which the chartist could only relate the prediction with regard to past data or behaviour.  However, despite the development of a significant model, the lack of direct empirical evidence is still in existence since </w:t>
      </w:r>
      <w:r w:rsidR="005E6F8F" w:rsidRPr="00AC7474">
        <w:rPr>
          <w:rFonts w:ascii="Times New Roman" w:hAnsi="Times New Roman" w:cs="Times New Roman"/>
          <w:sz w:val="24"/>
          <w:szCs w:val="24"/>
        </w:rPr>
        <w:t xml:space="preserve">each method is both unobservable and </w:t>
      </w:r>
      <w:r w:rsidR="009D32CA" w:rsidRPr="00AC7474">
        <w:rPr>
          <w:rFonts w:ascii="Times New Roman" w:hAnsi="Times New Roman" w:cs="Times New Roman"/>
          <w:sz w:val="24"/>
          <w:szCs w:val="24"/>
        </w:rPr>
        <w:t>time-varying</w:t>
      </w:r>
      <w:r w:rsidR="005E6F8F" w:rsidRPr="00AC7474">
        <w:rPr>
          <w:rFonts w:ascii="Times New Roman" w:hAnsi="Times New Roman" w:cs="Times New Roman"/>
          <w:sz w:val="24"/>
          <w:szCs w:val="24"/>
        </w:rPr>
        <w:t>. The only improvement made is the efforts to try and make modifications to the existing models. Similarly, bootstrapping and the use of data-snooping bias testing methods are being considered</w:t>
      </w:r>
      <w:r w:rsidR="00447EC4">
        <w:rPr>
          <w:rFonts w:ascii="Times New Roman" w:hAnsi="Times New Roman" w:cs="Times New Roman"/>
          <w:sz w:val="24"/>
          <w:szCs w:val="24"/>
        </w:rPr>
        <w:t xml:space="preserve"> (Ulloa</w:t>
      </w:r>
      <w:r w:rsidR="0012376B">
        <w:rPr>
          <w:rFonts w:ascii="Times New Roman" w:hAnsi="Times New Roman" w:cs="Times New Roman"/>
          <w:sz w:val="24"/>
          <w:szCs w:val="24"/>
        </w:rPr>
        <w:t>, 2013</w:t>
      </w:r>
      <w:r w:rsidR="00447EC4">
        <w:rPr>
          <w:rFonts w:ascii="Times New Roman" w:hAnsi="Times New Roman" w:cs="Times New Roman"/>
          <w:sz w:val="24"/>
          <w:szCs w:val="24"/>
        </w:rPr>
        <w:t>)</w:t>
      </w:r>
      <w:r w:rsidR="005E6F8F" w:rsidRPr="00AC7474">
        <w:rPr>
          <w:rFonts w:ascii="Times New Roman" w:hAnsi="Times New Roman" w:cs="Times New Roman"/>
          <w:sz w:val="24"/>
          <w:szCs w:val="24"/>
        </w:rPr>
        <w:t xml:space="preserve">. </w:t>
      </w:r>
    </w:p>
    <w:p w:rsidR="0062176F"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3. </w:t>
      </w:r>
      <w:r>
        <w:rPr>
          <w:rFonts w:ascii="Times New Roman" w:hAnsi="Times New Roman" w:cs="Times New Roman"/>
          <w:sz w:val="24"/>
          <w:szCs w:val="24"/>
        </w:rPr>
        <w:tab/>
      </w:r>
      <w:r w:rsidRPr="00AC7474">
        <w:rPr>
          <w:rFonts w:ascii="Times New Roman" w:hAnsi="Times New Roman" w:cs="Times New Roman"/>
          <w:sz w:val="24"/>
          <w:szCs w:val="24"/>
        </w:rPr>
        <w:t>The predictabilit</w:t>
      </w:r>
      <w:r w:rsidRPr="00AC7474">
        <w:rPr>
          <w:rFonts w:ascii="Times New Roman" w:hAnsi="Times New Roman" w:cs="Times New Roman"/>
          <w:sz w:val="24"/>
          <w:szCs w:val="24"/>
        </w:rPr>
        <w:t xml:space="preserve">y of the exchange rate using various models has been challenging. One study after the other is being conducted to come up with the best techniques that increase the </w:t>
      </w:r>
      <w:r w:rsidR="009D32CA" w:rsidRPr="00AC7474">
        <w:rPr>
          <w:rFonts w:ascii="Times New Roman" w:hAnsi="Times New Roman" w:cs="Times New Roman"/>
          <w:sz w:val="24"/>
          <w:szCs w:val="24"/>
        </w:rPr>
        <w:t>level</w:t>
      </w:r>
      <w:r w:rsidRPr="00AC7474">
        <w:rPr>
          <w:rFonts w:ascii="Times New Roman" w:hAnsi="Times New Roman" w:cs="Times New Roman"/>
          <w:sz w:val="24"/>
          <w:szCs w:val="24"/>
        </w:rPr>
        <w:t xml:space="preserve"> of accura</w:t>
      </w:r>
      <w:r w:rsidR="000452CB" w:rsidRPr="00AC7474">
        <w:rPr>
          <w:rFonts w:ascii="Times New Roman" w:hAnsi="Times New Roman" w:cs="Times New Roman"/>
          <w:sz w:val="24"/>
          <w:szCs w:val="24"/>
        </w:rPr>
        <w:t>cy. Such have seen the use of T</w:t>
      </w:r>
      <w:r w:rsidRPr="00AC7474">
        <w:rPr>
          <w:rFonts w:ascii="Times New Roman" w:hAnsi="Times New Roman" w:cs="Times New Roman"/>
          <w:sz w:val="24"/>
          <w:szCs w:val="24"/>
        </w:rPr>
        <w:t xml:space="preserve">ylor rules to model the exchange </w:t>
      </w:r>
      <w:r w:rsidR="000452CB" w:rsidRPr="00AC7474">
        <w:rPr>
          <w:rFonts w:ascii="Times New Roman" w:hAnsi="Times New Roman" w:cs="Times New Roman"/>
          <w:sz w:val="24"/>
          <w:szCs w:val="24"/>
        </w:rPr>
        <w:t xml:space="preserve">rates with promising results. Tylor rule methods appear the best to predict the results either statistically </w:t>
      </w:r>
      <w:r w:rsidR="000452CB" w:rsidRPr="00AC7474">
        <w:rPr>
          <w:rFonts w:ascii="Times New Roman" w:hAnsi="Times New Roman" w:cs="Times New Roman"/>
          <w:sz w:val="24"/>
          <w:szCs w:val="24"/>
        </w:rPr>
        <w:lastRenderedPageBreak/>
        <w:t xml:space="preserve">or economically. It displays a reasonable comparison rate between countries. On the other </w:t>
      </w:r>
      <w:r w:rsidR="009D32CA" w:rsidRPr="00AC7474">
        <w:rPr>
          <w:rFonts w:ascii="Times New Roman" w:hAnsi="Times New Roman" w:cs="Times New Roman"/>
          <w:sz w:val="24"/>
          <w:szCs w:val="24"/>
        </w:rPr>
        <w:t>hand,</w:t>
      </w:r>
      <w:r w:rsidR="000452CB" w:rsidRPr="00AC7474">
        <w:rPr>
          <w:rFonts w:ascii="Times New Roman" w:hAnsi="Times New Roman" w:cs="Times New Roman"/>
          <w:sz w:val="24"/>
          <w:szCs w:val="24"/>
        </w:rPr>
        <w:t xml:space="preserve"> the technical rule expresses superior predictive abilities over the random walk level across </w:t>
      </w:r>
      <w:r w:rsidR="009D32CA" w:rsidRPr="00AC7474">
        <w:rPr>
          <w:rFonts w:ascii="Times New Roman" w:hAnsi="Times New Roman" w:cs="Times New Roman"/>
          <w:sz w:val="24"/>
          <w:szCs w:val="24"/>
        </w:rPr>
        <w:t>the horizons</w:t>
      </w:r>
      <w:r w:rsidR="000452CB" w:rsidRPr="00AC7474">
        <w:rPr>
          <w:rFonts w:ascii="Times New Roman" w:hAnsi="Times New Roman" w:cs="Times New Roman"/>
          <w:sz w:val="24"/>
          <w:szCs w:val="24"/>
        </w:rPr>
        <w:t>. Finally, the author indicates that there are gains in simple combinations of statistical models with a short horizon limit. However, since the market is evolving, more research and updates on the models should keep on being checked</w:t>
      </w:r>
      <w:r w:rsidR="00447EC4">
        <w:rPr>
          <w:rFonts w:ascii="Times New Roman" w:hAnsi="Times New Roman" w:cs="Times New Roman"/>
          <w:sz w:val="24"/>
          <w:szCs w:val="24"/>
        </w:rPr>
        <w:t xml:space="preserve"> (Ulloa, 2013)</w:t>
      </w:r>
      <w:r w:rsidR="000452CB" w:rsidRPr="00AC7474">
        <w:rPr>
          <w:rFonts w:ascii="Times New Roman" w:hAnsi="Times New Roman" w:cs="Times New Roman"/>
          <w:sz w:val="24"/>
          <w:szCs w:val="24"/>
        </w:rPr>
        <w:t>.</w:t>
      </w:r>
    </w:p>
    <w:p w:rsidR="00F84AD4" w:rsidRPr="00AC7474" w:rsidRDefault="00885D98" w:rsidP="00892A12">
      <w:pPr>
        <w:spacing w:line="480" w:lineRule="auto"/>
        <w:jc w:val="center"/>
        <w:rPr>
          <w:rFonts w:ascii="Times New Roman" w:hAnsi="Times New Roman" w:cs="Times New Roman"/>
          <w:sz w:val="24"/>
          <w:szCs w:val="24"/>
        </w:rPr>
      </w:pPr>
      <w:r w:rsidRPr="00AC7474">
        <w:rPr>
          <w:rFonts w:ascii="Times New Roman" w:hAnsi="Times New Roman" w:cs="Times New Roman"/>
          <w:sz w:val="24"/>
          <w:szCs w:val="24"/>
        </w:rPr>
        <w:t>Case study 4</w:t>
      </w:r>
    </w:p>
    <w:p w:rsidR="000452CB"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1. </w:t>
      </w:r>
      <w:r>
        <w:rPr>
          <w:rFonts w:ascii="Times New Roman" w:hAnsi="Times New Roman" w:cs="Times New Roman"/>
          <w:sz w:val="24"/>
          <w:szCs w:val="24"/>
        </w:rPr>
        <w:tab/>
      </w:r>
      <w:r w:rsidRPr="00AC7474">
        <w:rPr>
          <w:rFonts w:ascii="Times New Roman" w:hAnsi="Times New Roman" w:cs="Times New Roman"/>
          <w:sz w:val="24"/>
          <w:szCs w:val="24"/>
        </w:rPr>
        <w:t>The</w:t>
      </w:r>
      <w:r w:rsidR="00F84AD4" w:rsidRPr="00AC7474">
        <w:rPr>
          <w:rFonts w:ascii="Times New Roman" w:hAnsi="Times New Roman" w:cs="Times New Roman"/>
          <w:sz w:val="24"/>
          <w:szCs w:val="24"/>
        </w:rPr>
        <w:t xml:space="preserve"> Uncovered Rate Parity (UIP) is fundamental to the process of determining the exchange rate using standard open economy models. It balances the expected returns on the local and foreign bonds. UIP is directly related to risk-neutrality </w:t>
      </w:r>
      <w:r w:rsidR="00B86A2D" w:rsidRPr="00AC7474">
        <w:rPr>
          <w:rFonts w:ascii="Times New Roman" w:hAnsi="Times New Roman" w:cs="Times New Roman"/>
          <w:sz w:val="24"/>
          <w:szCs w:val="24"/>
        </w:rPr>
        <w:t xml:space="preserve">as well as the </w:t>
      </w:r>
      <w:r w:rsidRPr="00AC7474">
        <w:rPr>
          <w:rFonts w:ascii="Times New Roman" w:hAnsi="Times New Roman" w:cs="Times New Roman"/>
          <w:sz w:val="24"/>
          <w:szCs w:val="24"/>
        </w:rPr>
        <w:t>log linearizing</w:t>
      </w:r>
      <w:r w:rsidR="00B86A2D" w:rsidRPr="00AC7474">
        <w:rPr>
          <w:rFonts w:ascii="Times New Roman" w:hAnsi="Times New Roman" w:cs="Times New Roman"/>
          <w:sz w:val="24"/>
          <w:szCs w:val="24"/>
        </w:rPr>
        <w:t xml:space="preserve"> of the standard no-</w:t>
      </w:r>
      <w:r w:rsidRPr="00AC7474">
        <w:rPr>
          <w:rFonts w:ascii="Times New Roman" w:hAnsi="Times New Roman" w:cs="Times New Roman"/>
          <w:sz w:val="24"/>
          <w:szCs w:val="24"/>
        </w:rPr>
        <w:t>arbitrage</w:t>
      </w:r>
      <w:r w:rsidR="00B86A2D" w:rsidRPr="00AC7474">
        <w:rPr>
          <w:rFonts w:ascii="Times New Roman" w:hAnsi="Times New Roman" w:cs="Times New Roman"/>
          <w:sz w:val="24"/>
          <w:szCs w:val="24"/>
        </w:rPr>
        <w:t xml:space="preserve"> pricing conditions that always result in obtaining a vast class of equilibrium techniques</w:t>
      </w:r>
      <w:r w:rsidR="00E34FDE">
        <w:rPr>
          <w:rFonts w:ascii="Times New Roman" w:hAnsi="Times New Roman" w:cs="Times New Roman"/>
          <w:sz w:val="24"/>
          <w:szCs w:val="24"/>
        </w:rPr>
        <w:t xml:space="preserve"> (Valchez, 2015)</w:t>
      </w:r>
      <w:r w:rsidR="00B86A2D" w:rsidRPr="00AC7474">
        <w:rPr>
          <w:rFonts w:ascii="Times New Roman" w:hAnsi="Times New Roman" w:cs="Times New Roman"/>
          <w:sz w:val="24"/>
          <w:szCs w:val="24"/>
        </w:rPr>
        <w:t>.</w:t>
      </w:r>
    </w:p>
    <w:p w:rsidR="00B86A2D"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2. </w:t>
      </w:r>
      <w:r>
        <w:rPr>
          <w:rFonts w:ascii="Times New Roman" w:hAnsi="Times New Roman" w:cs="Times New Roman"/>
          <w:sz w:val="24"/>
          <w:szCs w:val="24"/>
        </w:rPr>
        <w:tab/>
      </w:r>
      <w:r w:rsidRPr="00AC7474">
        <w:rPr>
          <w:rFonts w:ascii="Times New Roman" w:hAnsi="Times New Roman" w:cs="Times New Roman"/>
          <w:sz w:val="24"/>
          <w:szCs w:val="24"/>
        </w:rPr>
        <w:t>UIP deviations are monitored by endogenous time va</w:t>
      </w:r>
      <w:r w:rsidRPr="00AC7474">
        <w:rPr>
          <w:rFonts w:ascii="Times New Roman" w:hAnsi="Times New Roman" w:cs="Times New Roman"/>
          <w:sz w:val="24"/>
          <w:szCs w:val="24"/>
        </w:rPr>
        <w:t xml:space="preserve">riation within the convenience yield differential. In longer horizons, the </w:t>
      </w:r>
      <w:r w:rsidR="009D32CA" w:rsidRPr="00AC7474">
        <w:rPr>
          <w:rFonts w:ascii="Times New Roman" w:hAnsi="Times New Roman" w:cs="Times New Roman"/>
          <w:sz w:val="24"/>
          <w:szCs w:val="24"/>
        </w:rPr>
        <w:t>violation</w:t>
      </w:r>
      <w:r w:rsidRPr="00AC7474">
        <w:rPr>
          <w:rFonts w:ascii="Times New Roman" w:hAnsi="Times New Roman" w:cs="Times New Roman"/>
          <w:sz w:val="24"/>
          <w:szCs w:val="24"/>
        </w:rPr>
        <w:t xml:space="preserve"> of UIP occurs. This is because of the interaction between monetary and fiscal policies, which reveal dynamics of interest</w:t>
      </w:r>
      <w:r w:rsidRPr="00AC7474">
        <w:rPr>
          <w:rFonts w:ascii="Times New Roman" w:hAnsi="Times New Roman" w:cs="Times New Roman"/>
          <w:sz w:val="24"/>
          <w:szCs w:val="24"/>
        </w:rPr>
        <w:t xml:space="preserve"> rates and debts. Interventions such as central banking helping in inflated the debt away, the UIP violatio</w:t>
      </w:r>
      <w:r w:rsidR="006F1A03" w:rsidRPr="00AC7474">
        <w:rPr>
          <w:rFonts w:ascii="Times New Roman" w:hAnsi="Times New Roman" w:cs="Times New Roman"/>
          <w:sz w:val="24"/>
          <w:szCs w:val="24"/>
        </w:rPr>
        <w:t xml:space="preserve">ns decrease and may result in it being negative in all the </w:t>
      </w:r>
      <w:r w:rsidR="009D32CA" w:rsidRPr="00AC7474">
        <w:rPr>
          <w:rFonts w:ascii="Times New Roman" w:hAnsi="Times New Roman" w:cs="Times New Roman"/>
          <w:sz w:val="24"/>
          <w:szCs w:val="24"/>
        </w:rPr>
        <w:t>horizons. Therefore</w:t>
      </w:r>
      <w:r w:rsidR="006F1A03" w:rsidRPr="00AC7474">
        <w:rPr>
          <w:rFonts w:ascii="Times New Roman" w:hAnsi="Times New Roman" w:cs="Times New Roman"/>
          <w:sz w:val="24"/>
          <w:szCs w:val="24"/>
        </w:rPr>
        <w:t xml:space="preserve">, the shorter horizons are characterized by negative </w:t>
      </w:r>
      <w:r w:rsidR="009D32CA" w:rsidRPr="00AC7474">
        <w:rPr>
          <w:rFonts w:ascii="Times New Roman" w:hAnsi="Times New Roman" w:cs="Times New Roman"/>
          <w:sz w:val="24"/>
          <w:szCs w:val="24"/>
        </w:rPr>
        <w:t>coefficients</w:t>
      </w:r>
      <w:r w:rsidR="006F1A03" w:rsidRPr="00AC7474">
        <w:rPr>
          <w:rFonts w:ascii="Times New Roman" w:hAnsi="Times New Roman" w:cs="Times New Roman"/>
          <w:sz w:val="24"/>
          <w:szCs w:val="24"/>
        </w:rPr>
        <w:t>, while the longer ones are characterized by positive coefficients</w:t>
      </w:r>
      <w:r w:rsidR="00447EC4">
        <w:rPr>
          <w:rFonts w:ascii="Times New Roman" w:hAnsi="Times New Roman" w:cs="Times New Roman"/>
          <w:sz w:val="24"/>
          <w:szCs w:val="24"/>
        </w:rPr>
        <w:t xml:space="preserve"> (Valchez, 2015)</w:t>
      </w:r>
      <w:r w:rsidR="006F1A03" w:rsidRPr="00AC7474">
        <w:rPr>
          <w:rFonts w:ascii="Times New Roman" w:hAnsi="Times New Roman" w:cs="Times New Roman"/>
          <w:sz w:val="24"/>
          <w:szCs w:val="24"/>
        </w:rPr>
        <w:t>.</w:t>
      </w:r>
    </w:p>
    <w:p w:rsidR="006F1A03"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3. </w:t>
      </w:r>
      <w:r>
        <w:rPr>
          <w:rFonts w:ascii="Times New Roman" w:hAnsi="Times New Roman" w:cs="Times New Roman"/>
          <w:sz w:val="24"/>
          <w:szCs w:val="24"/>
        </w:rPr>
        <w:tab/>
      </w:r>
      <w:r w:rsidR="009D32CA" w:rsidRPr="00AC7474">
        <w:rPr>
          <w:rFonts w:ascii="Times New Roman" w:hAnsi="Times New Roman" w:cs="Times New Roman"/>
          <w:sz w:val="24"/>
          <w:szCs w:val="24"/>
        </w:rPr>
        <w:t>Due to the increased e</w:t>
      </w:r>
      <w:r w:rsidRPr="00AC7474">
        <w:rPr>
          <w:rFonts w:ascii="Times New Roman" w:hAnsi="Times New Roman" w:cs="Times New Roman"/>
          <w:sz w:val="24"/>
          <w:szCs w:val="24"/>
        </w:rPr>
        <w:t xml:space="preserve">mpirical data to be used, a more </w:t>
      </w:r>
      <w:r w:rsidR="009D32CA" w:rsidRPr="00AC7474">
        <w:rPr>
          <w:rFonts w:ascii="Times New Roman" w:hAnsi="Times New Roman" w:cs="Times New Roman"/>
          <w:sz w:val="24"/>
          <w:szCs w:val="24"/>
        </w:rPr>
        <w:t>extensive model</w:t>
      </w:r>
      <w:r w:rsidRPr="00AC7474">
        <w:rPr>
          <w:rFonts w:ascii="Times New Roman" w:hAnsi="Times New Roman" w:cs="Times New Roman"/>
          <w:sz w:val="24"/>
          <w:szCs w:val="24"/>
        </w:rPr>
        <w:t xml:space="preserve"> that captures and utilizes all the data </w:t>
      </w:r>
      <w:r w:rsidR="009D32CA" w:rsidRPr="00AC7474">
        <w:rPr>
          <w:rFonts w:ascii="Times New Roman" w:hAnsi="Times New Roman" w:cs="Times New Roman"/>
          <w:sz w:val="24"/>
          <w:szCs w:val="24"/>
        </w:rPr>
        <w:t>sets with different currencies that exhibit differing exchange rates needs to be considered. Exchange rate data sets are growing daily, and an upgraded model that predicts fewer instances of errors is the one that will fit. This is for a disregard of older models that are not consistent with their results when more countries are considered</w:t>
      </w:r>
      <w:r w:rsidR="00447EC4">
        <w:rPr>
          <w:rFonts w:ascii="Times New Roman" w:hAnsi="Times New Roman" w:cs="Times New Roman"/>
          <w:sz w:val="24"/>
          <w:szCs w:val="24"/>
        </w:rPr>
        <w:t xml:space="preserve"> (Valchez, 2015)</w:t>
      </w:r>
      <w:r w:rsidR="009D32CA" w:rsidRPr="00AC7474">
        <w:rPr>
          <w:rFonts w:ascii="Times New Roman" w:hAnsi="Times New Roman" w:cs="Times New Roman"/>
          <w:sz w:val="24"/>
          <w:szCs w:val="24"/>
        </w:rPr>
        <w:t xml:space="preserve">. </w:t>
      </w:r>
    </w:p>
    <w:p w:rsidR="008F1088"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lastRenderedPageBreak/>
        <w:t xml:space="preserve">4. </w:t>
      </w:r>
      <w:r>
        <w:rPr>
          <w:rFonts w:ascii="Times New Roman" w:hAnsi="Times New Roman" w:cs="Times New Roman"/>
          <w:sz w:val="24"/>
          <w:szCs w:val="24"/>
        </w:rPr>
        <w:tab/>
      </w:r>
      <w:r w:rsidRPr="00AC7474">
        <w:rPr>
          <w:rFonts w:ascii="Times New Roman" w:hAnsi="Times New Roman" w:cs="Times New Roman"/>
          <w:sz w:val="24"/>
          <w:szCs w:val="24"/>
        </w:rPr>
        <w:t>The</w:t>
      </w:r>
      <w:r w:rsidR="00DE71C3" w:rsidRPr="00AC7474">
        <w:rPr>
          <w:rFonts w:ascii="Times New Roman" w:hAnsi="Times New Roman" w:cs="Times New Roman"/>
          <w:sz w:val="24"/>
          <w:szCs w:val="24"/>
        </w:rPr>
        <w:t xml:space="preserve"> higher interest rate causes a country higher returns in relation to other nations. Hence, the increased </w:t>
      </w:r>
      <w:r w:rsidRPr="00AC7474">
        <w:rPr>
          <w:rFonts w:ascii="Times New Roman" w:hAnsi="Times New Roman" w:cs="Times New Roman"/>
          <w:sz w:val="24"/>
          <w:szCs w:val="24"/>
        </w:rPr>
        <w:t>interests</w:t>
      </w:r>
      <w:r w:rsidR="00DE71C3" w:rsidRPr="00AC7474">
        <w:rPr>
          <w:rFonts w:ascii="Times New Roman" w:hAnsi="Times New Roman" w:cs="Times New Roman"/>
          <w:sz w:val="24"/>
          <w:szCs w:val="24"/>
        </w:rPr>
        <w:t xml:space="preserve"> rates attract more foreign funds hence raising the level of the exchange rate. </w:t>
      </w:r>
      <w:r w:rsidRPr="00AC7474">
        <w:rPr>
          <w:rFonts w:ascii="Times New Roman" w:hAnsi="Times New Roman" w:cs="Times New Roman"/>
          <w:sz w:val="24"/>
          <w:szCs w:val="24"/>
        </w:rPr>
        <w:t>The contrary r</w:t>
      </w:r>
      <w:r w:rsidRPr="00AC7474">
        <w:rPr>
          <w:rFonts w:ascii="Times New Roman" w:hAnsi="Times New Roman" w:cs="Times New Roman"/>
          <w:sz w:val="24"/>
          <w:szCs w:val="24"/>
        </w:rPr>
        <w:t>elationship reduces the interest rates in a country. This brings out evidence of how these rates are highly correlated. Therefore, to analyze these rates, unlimited empirical data is required</w:t>
      </w:r>
      <w:r w:rsidR="00447EC4">
        <w:rPr>
          <w:rFonts w:ascii="Times New Roman" w:hAnsi="Times New Roman" w:cs="Times New Roman"/>
          <w:sz w:val="24"/>
          <w:szCs w:val="24"/>
        </w:rPr>
        <w:t xml:space="preserve"> (Valchez, 2015)</w:t>
      </w:r>
      <w:r w:rsidRPr="00AC7474">
        <w:rPr>
          <w:rFonts w:ascii="Times New Roman" w:hAnsi="Times New Roman" w:cs="Times New Roman"/>
          <w:sz w:val="24"/>
          <w:szCs w:val="24"/>
        </w:rPr>
        <w:t>.</w:t>
      </w:r>
    </w:p>
    <w:p w:rsidR="00DE71C3" w:rsidRPr="00AC7474" w:rsidRDefault="00885D98" w:rsidP="00892A12">
      <w:pPr>
        <w:spacing w:line="480" w:lineRule="auto"/>
        <w:rPr>
          <w:rFonts w:ascii="Times New Roman" w:hAnsi="Times New Roman" w:cs="Times New Roman"/>
          <w:sz w:val="24"/>
          <w:szCs w:val="24"/>
        </w:rPr>
      </w:pPr>
      <w:r w:rsidRPr="00AC7474">
        <w:rPr>
          <w:rFonts w:ascii="Times New Roman" w:hAnsi="Times New Roman" w:cs="Times New Roman"/>
          <w:sz w:val="24"/>
          <w:szCs w:val="24"/>
        </w:rPr>
        <w:t xml:space="preserve">5. </w:t>
      </w:r>
      <w:r>
        <w:rPr>
          <w:rFonts w:ascii="Times New Roman" w:hAnsi="Times New Roman" w:cs="Times New Roman"/>
          <w:sz w:val="24"/>
          <w:szCs w:val="24"/>
        </w:rPr>
        <w:tab/>
      </w:r>
      <w:r w:rsidRPr="00AC7474">
        <w:rPr>
          <w:rFonts w:ascii="Times New Roman" w:hAnsi="Times New Roman" w:cs="Times New Roman"/>
          <w:sz w:val="24"/>
          <w:szCs w:val="24"/>
        </w:rPr>
        <w:t>The</w:t>
      </w:r>
      <w:r w:rsidR="008F1088" w:rsidRPr="00AC7474">
        <w:rPr>
          <w:rFonts w:ascii="Times New Roman" w:hAnsi="Times New Roman" w:cs="Times New Roman"/>
          <w:sz w:val="24"/>
          <w:szCs w:val="24"/>
        </w:rPr>
        <w:t xml:space="preserve"> empirical evidence surrounding the relationship between interest and inflation is subject to the violation of the economic world. This causes a puzzle in the exchange rates and raises complexity in UIP. The UIP failures are connected to individual episodes </w:t>
      </w:r>
      <w:r w:rsidRPr="00AC7474">
        <w:rPr>
          <w:rFonts w:ascii="Times New Roman" w:hAnsi="Times New Roman" w:cs="Times New Roman"/>
          <w:sz w:val="24"/>
          <w:szCs w:val="24"/>
        </w:rPr>
        <w:t>where errors in rate expectations have</w:t>
      </w:r>
      <w:r w:rsidRPr="00AC7474">
        <w:rPr>
          <w:rFonts w:ascii="Times New Roman" w:hAnsi="Times New Roman" w:cs="Times New Roman"/>
          <w:sz w:val="24"/>
          <w:szCs w:val="24"/>
        </w:rPr>
        <w:t xml:space="preserve"> been witnessed. The evidence of such inference is notable with increased averaging of data for longer periods in UIP</w:t>
      </w:r>
      <w:r w:rsidR="00447EC4">
        <w:rPr>
          <w:rFonts w:ascii="Times New Roman" w:hAnsi="Times New Roman" w:cs="Times New Roman"/>
          <w:sz w:val="24"/>
          <w:szCs w:val="24"/>
        </w:rPr>
        <w:t xml:space="preserve"> (Valchez, 2015)</w:t>
      </w:r>
      <w:r w:rsidRPr="00AC7474">
        <w:rPr>
          <w:rFonts w:ascii="Times New Roman" w:hAnsi="Times New Roman" w:cs="Times New Roman"/>
          <w:sz w:val="24"/>
          <w:szCs w:val="24"/>
        </w:rPr>
        <w:t>.</w:t>
      </w:r>
    </w:p>
    <w:p w:rsidR="00B267D6" w:rsidRPr="00AC7474" w:rsidRDefault="00B267D6" w:rsidP="00892A12">
      <w:pPr>
        <w:spacing w:line="480" w:lineRule="auto"/>
        <w:rPr>
          <w:rFonts w:ascii="Times New Roman" w:hAnsi="Times New Roman" w:cs="Times New Roman"/>
          <w:sz w:val="24"/>
          <w:szCs w:val="24"/>
        </w:rPr>
      </w:pPr>
    </w:p>
    <w:p w:rsidR="00B267D6" w:rsidRPr="00AC7474" w:rsidRDefault="00B267D6" w:rsidP="00892A12">
      <w:pPr>
        <w:spacing w:line="480" w:lineRule="auto"/>
        <w:rPr>
          <w:rFonts w:ascii="Times New Roman" w:hAnsi="Times New Roman" w:cs="Times New Roman"/>
          <w:sz w:val="24"/>
          <w:szCs w:val="24"/>
        </w:rPr>
      </w:pPr>
    </w:p>
    <w:p w:rsidR="00AC7474" w:rsidRDefault="00AC7474" w:rsidP="00892A12">
      <w:pPr>
        <w:spacing w:line="480" w:lineRule="auto"/>
        <w:rPr>
          <w:rFonts w:ascii="Times New Roman" w:hAnsi="Times New Roman" w:cs="Times New Roman"/>
          <w:sz w:val="24"/>
          <w:szCs w:val="24"/>
        </w:rPr>
      </w:pPr>
    </w:p>
    <w:p w:rsidR="00AC7474" w:rsidRDefault="00AC7474" w:rsidP="00892A12">
      <w:pPr>
        <w:spacing w:line="480" w:lineRule="auto"/>
        <w:rPr>
          <w:rFonts w:ascii="Times New Roman" w:hAnsi="Times New Roman" w:cs="Times New Roman"/>
          <w:sz w:val="24"/>
          <w:szCs w:val="24"/>
        </w:rPr>
      </w:pPr>
    </w:p>
    <w:p w:rsidR="00AC7474" w:rsidRDefault="00AC7474" w:rsidP="00892A12">
      <w:pPr>
        <w:spacing w:line="480" w:lineRule="auto"/>
        <w:rPr>
          <w:rFonts w:ascii="Times New Roman" w:hAnsi="Times New Roman" w:cs="Times New Roman"/>
          <w:sz w:val="24"/>
          <w:szCs w:val="24"/>
        </w:rPr>
      </w:pPr>
    </w:p>
    <w:p w:rsidR="00AC7474" w:rsidRDefault="00AC7474" w:rsidP="00892A12">
      <w:pPr>
        <w:spacing w:line="480" w:lineRule="auto"/>
        <w:rPr>
          <w:rFonts w:ascii="Times New Roman" w:hAnsi="Times New Roman" w:cs="Times New Roman"/>
          <w:sz w:val="24"/>
          <w:szCs w:val="24"/>
        </w:rPr>
      </w:pPr>
    </w:p>
    <w:p w:rsidR="00AC7474" w:rsidRDefault="00AC7474" w:rsidP="00892A12">
      <w:pPr>
        <w:spacing w:line="480" w:lineRule="auto"/>
        <w:rPr>
          <w:rFonts w:ascii="Times New Roman" w:hAnsi="Times New Roman" w:cs="Times New Roman"/>
          <w:sz w:val="24"/>
          <w:szCs w:val="24"/>
        </w:rPr>
      </w:pPr>
    </w:p>
    <w:p w:rsidR="00AC7474" w:rsidRDefault="00AC7474" w:rsidP="00892A12">
      <w:pPr>
        <w:spacing w:line="480" w:lineRule="auto"/>
        <w:rPr>
          <w:rFonts w:ascii="Times New Roman" w:hAnsi="Times New Roman" w:cs="Times New Roman"/>
          <w:sz w:val="24"/>
          <w:szCs w:val="24"/>
        </w:rPr>
      </w:pPr>
    </w:p>
    <w:p w:rsidR="00AC7474" w:rsidRDefault="00AC7474" w:rsidP="00892A12">
      <w:pPr>
        <w:spacing w:line="480" w:lineRule="auto"/>
        <w:rPr>
          <w:rFonts w:ascii="Times New Roman" w:hAnsi="Times New Roman" w:cs="Times New Roman"/>
          <w:sz w:val="24"/>
          <w:szCs w:val="24"/>
        </w:rPr>
      </w:pPr>
    </w:p>
    <w:p w:rsidR="00E34FDE" w:rsidRDefault="00E34FDE" w:rsidP="00892A12">
      <w:pPr>
        <w:spacing w:line="480" w:lineRule="auto"/>
        <w:rPr>
          <w:rFonts w:ascii="Times New Roman" w:hAnsi="Times New Roman" w:cs="Times New Roman"/>
          <w:sz w:val="24"/>
          <w:szCs w:val="24"/>
        </w:rPr>
      </w:pPr>
    </w:p>
    <w:p w:rsidR="00892A12" w:rsidRDefault="00892A12" w:rsidP="00892A12">
      <w:pPr>
        <w:spacing w:line="480" w:lineRule="auto"/>
        <w:ind w:left="720" w:hanging="720"/>
        <w:jc w:val="center"/>
        <w:rPr>
          <w:rFonts w:ascii="Times New Roman" w:hAnsi="Times New Roman" w:cs="Times New Roman"/>
          <w:sz w:val="24"/>
          <w:szCs w:val="24"/>
        </w:rPr>
      </w:pPr>
    </w:p>
    <w:p w:rsidR="00892A12" w:rsidRDefault="00892A12" w:rsidP="00892A12">
      <w:pPr>
        <w:spacing w:line="480" w:lineRule="auto"/>
        <w:ind w:left="720" w:hanging="720"/>
        <w:jc w:val="center"/>
        <w:rPr>
          <w:rFonts w:ascii="Times New Roman" w:hAnsi="Times New Roman" w:cs="Times New Roman"/>
          <w:sz w:val="24"/>
          <w:szCs w:val="24"/>
        </w:rPr>
      </w:pPr>
    </w:p>
    <w:p w:rsidR="00B267D6" w:rsidRPr="00AC7474" w:rsidRDefault="00885D98" w:rsidP="00892A12">
      <w:pPr>
        <w:spacing w:line="480" w:lineRule="auto"/>
        <w:ind w:left="720" w:hanging="720"/>
        <w:jc w:val="center"/>
        <w:rPr>
          <w:rFonts w:ascii="Times New Roman" w:hAnsi="Times New Roman" w:cs="Times New Roman"/>
          <w:sz w:val="24"/>
          <w:szCs w:val="24"/>
        </w:rPr>
      </w:pPr>
      <w:bookmarkStart w:id="0" w:name="_GoBack"/>
      <w:bookmarkEnd w:id="0"/>
      <w:r w:rsidRPr="00AC7474">
        <w:rPr>
          <w:rFonts w:ascii="Times New Roman" w:hAnsi="Times New Roman" w:cs="Times New Roman"/>
          <w:sz w:val="24"/>
          <w:szCs w:val="24"/>
        </w:rPr>
        <w:lastRenderedPageBreak/>
        <w:t>References</w:t>
      </w:r>
    </w:p>
    <w:p w:rsidR="00B267D6" w:rsidRPr="00AC7474" w:rsidRDefault="00885D98" w:rsidP="00892A12">
      <w:pPr>
        <w:spacing w:line="480" w:lineRule="auto"/>
        <w:ind w:left="720" w:hanging="720"/>
        <w:rPr>
          <w:rFonts w:ascii="Times New Roman" w:hAnsi="Times New Roman" w:cs="Times New Roman"/>
          <w:sz w:val="24"/>
          <w:szCs w:val="24"/>
          <w:shd w:val="clear" w:color="auto" w:fill="FFFFFF"/>
        </w:rPr>
      </w:pPr>
      <w:r w:rsidRPr="00AC7474">
        <w:rPr>
          <w:rFonts w:ascii="Times New Roman" w:hAnsi="Times New Roman" w:cs="Times New Roman"/>
          <w:sz w:val="24"/>
          <w:szCs w:val="24"/>
          <w:shd w:val="clear" w:color="auto" w:fill="FFFFFF"/>
        </w:rPr>
        <w:t>Huang, H. (2015). </w:t>
      </w:r>
      <w:r w:rsidRPr="00AC7474">
        <w:rPr>
          <w:rFonts w:ascii="Times New Roman" w:hAnsi="Times New Roman" w:cs="Times New Roman"/>
          <w:i/>
          <w:iCs/>
          <w:sz w:val="24"/>
          <w:szCs w:val="24"/>
          <w:shd w:val="clear" w:color="auto" w:fill="FFFFFF"/>
        </w:rPr>
        <w:t>Essays in international finance</w:t>
      </w:r>
      <w:r w:rsidRPr="00AC7474">
        <w:rPr>
          <w:rFonts w:ascii="Times New Roman" w:hAnsi="Times New Roman" w:cs="Times New Roman"/>
          <w:sz w:val="24"/>
          <w:szCs w:val="24"/>
          <w:shd w:val="clear" w:color="auto" w:fill="FFFFFF"/>
        </w:rPr>
        <w:t> (Doctoral dissertation, University of Glasgow).</w:t>
      </w:r>
    </w:p>
    <w:p w:rsidR="000452CB" w:rsidRPr="00AC7474" w:rsidRDefault="00885D98" w:rsidP="00892A12">
      <w:pPr>
        <w:spacing w:line="480" w:lineRule="auto"/>
        <w:ind w:left="720" w:hanging="720"/>
        <w:rPr>
          <w:rFonts w:ascii="Times New Roman" w:hAnsi="Times New Roman" w:cs="Times New Roman"/>
          <w:sz w:val="24"/>
          <w:szCs w:val="24"/>
          <w:shd w:val="clear" w:color="auto" w:fill="FFFFFF"/>
        </w:rPr>
      </w:pPr>
      <w:r w:rsidRPr="00AC7474">
        <w:rPr>
          <w:rFonts w:ascii="Times New Roman" w:hAnsi="Times New Roman" w:cs="Times New Roman"/>
          <w:sz w:val="24"/>
          <w:szCs w:val="24"/>
          <w:shd w:val="clear" w:color="auto" w:fill="FFFFFF"/>
        </w:rPr>
        <w:t>Ulloa, B. (2013). </w:t>
      </w:r>
      <w:r w:rsidRPr="00AC7474">
        <w:rPr>
          <w:rFonts w:ascii="Times New Roman" w:hAnsi="Times New Roman" w:cs="Times New Roman"/>
          <w:i/>
          <w:iCs/>
          <w:sz w:val="24"/>
          <w:szCs w:val="24"/>
          <w:shd w:val="clear" w:color="auto" w:fill="FFFFFF"/>
        </w:rPr>
        <w:t>Essays on international finance</w:t>
      </w:r>
      <w:r w:rsidRPr="00AC7474">
        <w:rPr>
          <w:rFonts w:ascii="Times New Roman" w:hAnsi="Times New Roman" w:cs="Times New Roman"/>
          <w:sz w:val="24"/>
          <w:szCs w:val="24"/>
          <w:shd w:val="clear" w:color="auto" w:fill="FFFFFF"/>
        </w:rPr>
        <w:t> (Doctoral dissertation, City University London).</w:t>
      </w:r>
    </w:p>
    <w:p w:rsidR="00F84AD4" w:rsidRPr="00AC7474" w:rsidRDefault="00885D98" w:rsidP="00892A12">
      <w:pPr>
        <w:spacing w:line="480" w:lineRule="auto"/>
        <w:ind w:left="720" w:hanging="720"/>
        <w:rPr>
          <w:rFonts w:ascii="Times New Roman" w:hAnsi="Times New Roman" w:cs="Times New Roman"/>
          <w:sz w:val="24"/>
          <w:szCs w:val="24"/>
        </w:rPr>
      </w:pPr>
      <w:r w:rsidRPr="00AC7474">
        <w:rPr>
          <w:rFonts w:ascii="Times New Roman" w:hAnsi="Times New Roman" w:cs="Times New Roman"/>
          <w:sz w:val="24"/>
          <w:szCs w:val="24"/>
          <w:shd w:val="clear" w:color="auto" w:fill="FFFFFF"/>
        </w:rPr>
        <w:t>Valchev, R. Z. (2015). </w:t>
      </w:r>
      <w:r w:rsidRPr="00AC7474">
        <w:rPr>
          <w:rFonts w:ascii="Times New Roman" w:hAnsi="Times New Roman" w:cs="Times New Roman"/>
          <w:i/>
          <w:iCs/>
          <w:sz w:val="24"/>
          <w:szCs w:val="24"/>
          <w:shd w:val="clear" w:color="auto" w:fill="FFFFFF"/>
        </w:rPr>
        <w:t>Essays in International Finance</w:t>
      </w:r>
      <w:r w:rsidRPr="00AC7474">
        <w:rPr>
          <w:rFonts w:ascii="Times New Roman" w:hAnsi="Times New Roman" w:cs="Times New Roman"/>
          <w:sz w:val="24"/>
          <w:szCs w:val="24"/>
          <w:shd w:val="clear" w:color="auto" w:fill="FFFFFF"/>
        </w:rPr>
        <w:t> (Doctoral dissertation, Duke University).</w:t>
      </w:r>
    </w:p>
    <w:sectPr w:rsidR="00F84AD4" w:rsidRPr="00AC747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D98" w:rsidRDefault="00885D98">
      <w:pPr>
        <w:spacing w:after="0" w:line="240" w:lineRule="auto"/>
      </w:pPr>
      <w:r>
        <w:separator/>
      </w:r>
    </w:p>
  </w:endnote>
  <w:endnote w:type="continuationSeparator" w:id="0">
    <w:p w:rsidR="00885D98" w:rsidRDefault="00885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D98" w:rsidRDefault="00885D98">
      <w:pPr>
        <w:spacing w:after="0" w:line="240" w:lineRule="auto"/>
      </w:pPr>
      <w:r>
        <w:separator/>
      </w:r>
    </w:p>
  </w:footnote>
  <w:footnote w:type="continuationSeparator" w:id="0">
    <w:p w:rsidR="00885D98" w:rsidRDefault="00885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2689103"/>
      <w:docPartObj>
        <w:docPartGallery w:val="Page Numbers (Top of Page)"/>
        <w:docPartUnique/>
      </w:docPartObj>
    </w:sdtPr>
    <w:sdtEndPr>
      <w:rPr>
        <w:noProof/>
      </w:rPr>
    </w:sdtEndPr>
    <w:sdtContent>
      <w:p w:rsidR="0012376B" w:rsidRDefault="00885D98">
        <w:pPr>
          <w:pStyle w:val="Header"/>
          <w:jc w:val="right"/>
        </w:pPr>
        <w:r>
          <w:fldChar w:fldCharType="begin"/>
        </w:r>
        <w:r>
          <w:instrText xml:space="preserve"> PAGE   \* MERGEFORMAT </w:instrText>
        </w:r>
        <w:r>
          <w:fldChar w:fldCharType="separate"/>
        </w:r>
        <w:r w:rsidR="00452BE2">
          <w:rPr>
            <w:noProof/>
          </w:rPr>
          <w:t>7</w:t>
        </w:r>
        <w:r>
          <w:rPr>
            <w:noProof/>
          </w:rPr>
          <w:fldChar w:fldCharType="end"/>
        </w:r>
      </w:p>
    </w:sdtContent>
  </w:sdt>
  <w:p w:rsidR="0012376B" w:rsidRDefault="001237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5347CD"/>
    <w:multiLevelType w:val="hybridMultilevel"/>
    <w:tmpl w:val="DB585B36"/>
    <w:lvl w:ilvl="0" w:tplc="C2F25E66">
      <w:start w:val="1"/>
      <w:numFmt w:val="decimal"/>
      <w:lvlText w:val="%1."/>
      <w:lvlJc w:val="left"/>
      <w:pPr>
        <w:ind w:left="720" w:hanging="360"/>
      </w:pPr>
      <w:rPr>
        <w:rFonts w:hint="default"/>
      </w:rPr>
    </w:lvl>
    <w:lvl w:ilvl="1" w:tplc="E75E8D2E" w:tentative="1">
      <w:start w:val="1"/>
      <w:numFmt w:val="lowerLetter"/>
      <w:lvlText w:val="%2."/>
      <w:lvlJc w:val="left"/>
      <w:pPr>
        <w:ind w:left="1440" w:hanging="360"/>
      </w:pPr>
    </w:lvl>
    <w:lvl w:ilvl="2" w:tplc="9682A398" w:tentative="1">
      <w:start w:val="1"/>
      <w:numFmt w:val="lowerRoman"/>
      <w:lvlText w:val="%3."/>
      <w:lvlJc w:val="right"/>
      <w:pPr>
        <w:ind w:left="2160" w:hanging="180"/>
      </w:pPr>
    </w:lvl>
    <w:lvl w:ilvl="3" w:tplc="68202E3C" w:tentative="1">
      <w:start w:val="1"/>
      <w:numFmt w:val="decimal"/>
      <w:lvlText w:val="%4."/>
      <w:lvlJc w:val="left"/>
      <w:pPr>
        <w:ind w:left="2880" w:hanging="360"/>
      </w:pPr>
    </w:lvl>
    <w:lvl w:ilvl="4" w:tplc="12523BA8" w:tentative="1">
      <w:start w:val="1"/>
      <w:numFmt w:val="lowerLetter"/>
      <w:lvlText w:val="%5."/>
      <w:lvlJc w:val="left"/>
      <w:pPr>
        <w:ind w:left="3600" w:hanging="360"/>
      </w:pPr>
    </w:lvl>
    <w:lvl w:ilvl="5" w:tplc="2DB268DE" w:tentative="1">
      <w:start w:val="1"/>
      <w:numFmt w:val="lowerRoman"/>
      <w:lvlText w:val="%6."/>
      <w:lvlJc w:val="right"/>
      <w:pPr>
        <w:ind w:left="4320" w:hanging="180"/>
      </w:pPr>
    </w:lvl>
    <w:lvl w:ilvl="6" w:tplc="7728A092" w:tentative="1">
      <w:start w:val="1"/>
      <w:numFmt w:val="decimal"/>
      <w:lvlText w:val="%7."/>
      <w:lvlJc w:val="left"/>
      <w:pPr>
        <w:ind w:left="5040" w:hanging="360"/>
      </w:pPr>
    </w:lvl>
    <w:lvl w:ilvl="7" w:tplc="8690DD68" w:tentative="1">
      <w:start w:val="1"/>
      <w:numFmt w:val="lowerLetter"/>
      <w:lvlText w:val="%8."/>
      <w:lvlJc w:val="left"/>
      <w:pPr>
        <w:ind w:left="5760" w:hanging="360"/>
      </w:pPr>
    </w:lvl>
    <w:lvl w:ilvl="8" w:tplc="6B0043D4" w:tentative="1">
      <w:start w:val="1"/>
      <w:numFmt w:val="lowerRoman"/>
      <w:lvlText w:val="%9."/>
      <w:lvlJc w:val="right"/>
      <w:pPr>
        <w:ind w:left="6480" w:hanging="180"/>
      </w:pPr>
    </w:lvl>
  </w:abstractNum>
  <w:abstractNum w:abstractNumId="1" w15:restartNumberingAfterBreak="0">
    <w:nsid w:val="782D19FE"/>
    <w:multiLevelType w:val="hybridMultilevel"/>
    <w:tmpl w:val="9C806280"/>
    <w:lvl w:ilvl="0" w:tplc="623C1B62">
      <w:start w:val="1"/>
      <w:numFmt w:val="decimal"/>
      <w:lvlText w:val="%1."/>
      <w:lvlJc w:val="left"/>
      <w:pPr>
        <w:ind w:left="720" w:hanging="360"/>
      </w:pPr>
      <w:rPr>
        <w:rFonts w:hint="default"/>
      </w:rPr>
    </w:lvl>
    <w:lvl w:ilvl="1" w:tplc="FA96FECE" w:tentative="1">
      <w:start w:val="1"/>
      <w:numFmt w:val="lowerLetter"/>
      <w:lvlText w:val="%2."/>
      <w:lvlJc w:val="left"/>
      <w:pPr>
        <w:ind w:left="1440" w:hanging="360"/>
      </w:pPr>
    </w:lvl>
    <w:lvl w:ilvl="2" w:tplc="C786FB1A" w:tentative="1">
      <w:start w:val="1"/>
      <w:numFmt w:val="lowerRoman"/>
      <w:lvlText w:val="%3."/>
      <w:lvlJc w:val="right"/>
      <w:pPr>
        <w:ind w:left="2160" w:hanging="180"/>
      </w:pPr>
    </w:lvl>
    <w:lvl w:ilvl="3" w:tplc="E20C912E" w:tentative="1">
      <w:start w:val="1"/>
      <w:numFmt w:val="decimal"/>
      <w:lvlText w:val="%4."/>
      <w:lvlJc w:val="left"/>
      <w:pPr>
        <w:ind w:left="2880" w:hanging="360"/>
      </w:pPr>
    </w:lvl>
    <w:lvl w:ilvl="4" w:tplc="09DED37A" w:tentative="1">
      <w:start w:val="1"/>
      <w:numFmt w:val="lowerLetter"/>
      <w:lvlText w:val="%5."/>
      <w:lvlJc w:val="left"/>
      <w:pPr>
        <w:ind w:left="3600" w:hanging="360"/>
      </w:pPr>
    </w:lvl>
    <w:lvl w:ilvl="5" w:tplc="68D4EFDC" w:tentative="1">
      <w:start w:val="1"/>
      <w:numFmt w:val="lowerRoman"/>
      <w:lvlText w:val="%6."/>
      <w:lvlJc w:val="right"/>
      <w:pPr>
        <w:ind w:left="4320" w:hanging="180"/>
      </w:pPr>
    </w:lvl>
    <w:lvl w:ilvl="6" w:tplc="71B223C8" w:tentative="1">
      <w:start w:val="1"/>
      <w:numFmt w:val="decimal"/>
      <w:lvlText w:val="%7."/>
      <w:lvlJc w:val="left"/>
      <w:pPr>
        <w:ind w:left="5040" w:hanging="360"/>
      </w:pPr>
    </w:lvl>
    <w:lvl w:ilvl="7" w:tplc="16BEED1A" w:tentative="1">
      <w:start w:val="1"/>
      <w:numFmt w:val="lowerLetter"/>
      <w:lvlText w:val="%8."/>
      <w:lvlJc w:val="left"/>
      <w:pPr>
        <w:ind w:left="5760" w:hanging="360"/>
      </w:pPr>
    </w:lvl>
    <w:lvl w:ilvl="8" w:tplc="BF3E357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AB8"/>
    <w:rsid w:val="000452CB"/>
    <w:rsid w:val="000B2855"/>
    <w:rsid w:val="0012376B"/>
    <w:rsid w:val="001417C3"/>
    <w:rsid w:val="001538C9"/>
    <w:rsid w:val="001629B5"/>
    <w:rsid w:val="001D4043"/>
    <w:rsid w:val="002A5337"/>
    <w:rsid w:val="0034325A"/>
    <w:rsid w:val="003F3C79"/>
    <w:rsid w:val="00447EC4"/>
    <w:rsid w:val="00452BE2"/>
    <w:rsid w:val="005E6F8F"/>
    <w:rsid w:val="0062176F"/>
    <w:rsid w:val="006F1A03"/>
    <w:rsid w:val="00862D4C"/>
    <w:rsid w:val="00885D98"/>
    <w:rsid w:val="00892A12"/>
    <w:rsid w:val="008F1088"/>
    <w:rsid w:val="009D32CA"/>
    <w:rsid w:val="00AA2AB8"/>
    <w:rsid w:val="00AC57AA"/>
    <w:rsid w:val="00AC7474"/>
    <w:rsid w:val="00B267D6"/>
    <w:rsid w:val="00B33D24"/>
    <w:rsid w:val="00B86A2D"/>
    <w:rsid w:val="00C000FA"/>
    <w:rsid w:val="00CB7A31"/>
    <w:rsid w:val="00D70714"/>
    <w:rsid w:val="00DE71C3"/>
    <w:rsid w:val="00E303A4"/>
    <w:rsid w:val="00E34FDE"/>
    <w:rsid w:val="00F2791F"/>
    <w:rsid w:val="00F84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436D1"/>
  <w15:chartTrackingRefBased/>
  <w15:docId w15:val="{BBCB26FA-BE19-4DB4-BA2C-7EB939A8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C79"/>
    <w:pPr>
      <w:ind w:left="720"/>
      <w:contextualSpacing/>
    </w:pPr>
  </w:style>
  <w:style w:type="paragraph" w:styleId="Header">
    <w:name w:val="header"/>
    <w:basedOn w:val="Normal"/>
    <w:link w:val="HeaderChar"/>
    <w:uiPriority w:val="99"/>
    <w:unhideWhenUsed/>
    <w:rsid w:val="00123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76B"/>
  </w:style>
  <w:style w:type="paragraph" w:styleId="Footer">
    <w:name w:val="footer"/>
    <w:basedOn w:val="Normal"/>
    <w:link w:val="FooterChar"/>
    <w:uiPriority w:val="99"/>
    <w:unhideWhenUsed/>
    <w:rsid w:val="00123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7</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10</cp:revision>
  <dcterms:created xsi:type="dcterms:W3CDTF">2021-09-21T16:36:00Z</dcterms:created>
  <dcterms:modified xsi:type="dcterms:W3CDTF">2021-09-21T21:17:00Z</dcterms:modified>
</cp:coreProperties>
</file>